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7357A" w14:paraId="583F1F4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26108B6" w14:textId="77777777" w:rsidR="0047357A" w:rsidRDefault="001F56B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F9813E0" w14:textId="77777777" w:rsidR="0047357A" w:rsidRDefault="001F56B5">
            <w:pPr>
              <w:spacing w:after="0" w:line="240" w:lineRule="auto"/>
            </w:pPr>
            <w:r>
              <w:t>35206</w:t>
            </w:r>
          </w:p>
        </w:tc>
      </w:tr>
      <w:tr w:rsidR="0047357A" w14:paraId="1C44C4C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9F3199" w14:textId="77777777" w:rsidR="0047357A" w:rsidRDefault="001F56B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E3E6F68" w14:textId="77777777" w:rsidR="0047357A" w:rsidRDefault="001F56B5">
            <w:pPr>
              <w:spacing w:after="0" w:line="240" w:lineRule="auto"/>
            </w:pPr>
            <w:r>
              <w:t>OPĆINA VELIKA PISANICA</w:t>
            </w:r>
          </w:p>
        </w:tc>
      </w:tr>
      <w:tr w:rsidR="0047357A" w14:paraId="5843569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3E7BB0" w14:textId="77777777" w:rsidR="0047357A" w:rsidRDefault="001F56B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91BBD8C" w14:textId="77777777" w:rsidR="0047357A" w:rsidRDefault="001F56B5">
            <w:pPr>
              <w:spacing w:after="0" w:line="240" w:lineRule="auto"/>
            </w:pPr>
            <w:r>
              <w:t>22</w:t>
            </w:r>
          </w:p>
        </w:tc>
      </w:tr>
    </w:tbl>
    <w:p w14:paraId="2A5D9135" w14:textId="77777777" w:rsidR="0047357A" w:rsidRDefault="001F56B5">
      <w:r>
        <w:br/>
      </w:r>
    </w:p>
    <w:p w14:paraId="62987A7D" w14:textId="77777777" w:rsidR="0047357A" w:rsidRDefault="001F56B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E9FFE41" w14:textId="77777777" w:rsidR="0047357A" w:rsidRDefault="001F56B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AE9CC38" w14:textId="77777777" w:rsidR="0047357A" w:rsidRDefault="001F56B5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664C5A8E" w14:textId="77777777" w:rsidR="0047357A" w:rsidRDefault="0047357A"/>
    <w:p w14:paraId="1A3AEE1A" w14:textId="77777777" w:rsidR="0047357A" w:rsidRDefault="001F56B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1CD203A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248244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A478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70CEA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7450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0C79B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674E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EA0F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3E68FC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7A225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943FBA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DBE0E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0DFC0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224.773,48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49939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453.092,09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6FCB1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201,6</w:t>
            </w:r>
          </w:p>
        </w:tc>
      </w:tr>
      <w:tr w:rsidR="0047357A" w14:paraId="26C1D9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C3734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FEA3D9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0B37F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2C5C2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159.027,64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98D47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399.570,56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DA28D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251,3</w:t>
            </w:r>
          </w:p>
        </w:tc>
      </w:tr>
      <w:tr w:rsidR="0047357A" w14:paraId="10F4BE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5B15E" w14:textId="77777777" w:rsidR="0047357A" w:rsidRDefault="0047357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62666C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02011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AF60E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65.745,84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1E54AD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53.521,53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31F4D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81,4</w:t>
            </w:r>
          </w:p>
        </w:tc>
      </w:tr>
      <w:tr w:rsidR="0047357A" w14:paraId="1CD580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CA25F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2DCBA2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9FDBD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8071D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6.743,31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5BA01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D835D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5,2</w:t>
            </w:r>
          </w:p>
        </w:tc>
      </w:tr>
      <w:tr w:rsidR="0047357A" w14:paraId="7109DB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2D55A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DFAE79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50417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ABFAB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4.039,00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7F0BE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143.848,16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B78E5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3561,5</w:t>
            </w:r>
          </w:p>
        </w:tc>
      </w:tr>
      <w:tr w:rsidR="0047357A" w14:paraId="1C1F29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97203" w14:textId="77777777" w:rsidR="0047357A" w:rsidRDefault="0047357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7A6E5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A75CF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A65F24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CB2DB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143.496,28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66009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7357A" w14:paraId="6BD3AF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2A46E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B1363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38786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82C8E4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1A8EC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489.823,11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A3443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7357A" w14:paraId="66CCC2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488CE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010301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D11BB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FE2101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4F6AF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296.701,97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870D0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7357A" w14:paraId="4AAE59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38BF9" w14:textId="77777777" w:rsidR="0047357A" w:rsidRDefault="0047357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5DC10D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3D149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0B4E2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83A5D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193.121,14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3C9B8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7357A" w14:paraId="5A421A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441A2" w14:textId="77777777" w:rsidR="0047357A" w:rsidRDefault="0047357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46A544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EEB22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F517D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68.450,15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615F4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103.146,39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5210F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150,7</w:t>
            </w:r>
          </w:p>
        </w:tc>
      </w:tr>
    </w:tbl>
    <w:p w14:paraId="34F07FF6" w14:textId="77777777" w:rsidR="0047357A" w:rsidRDefault="0047357A">
      <w:pPr>
        <w:spacing w:after="0"/>
      </w:pPr>
    </w:p>
    <w:p w14:paraId="0969C767" w14:textId="77777777" w:rsidR="0047357A" w:rsidRDefault="001F56B5">
      <w:pPr>
        <w:spacing w:line="240" w:lineRule="auto"/>
        <w:jc w:val="both"/>
      </w:pPr>
      <w:r>
        <w:t>Tijekom razdoblja od 01.01.-30.06.2025. godine ostvareno je prihoda i primitaka u iznosu od 943.267,08 eura  Te rashoda i izdataka u ukupnom iznosu od 840.120,69 eura, time je ostvaren višak prihoda i primitaka u iznosu od 103.146,39 eura Stanje novčanih sredstava na dan 30.06.2025. godine iznosi 74.363,91 euro. Preneseni manjak prihoda iz prethodne godine iznosi 39.167,32 eura što znači da višak prihoda i primitaka u slijedećem razdoblju iznosi 63.979,07 eura. U ovom izvještajnom razdoblju nije bilo dugoro</w:t>
      </w:r>
      <w:r>
        <w:t xml:space="preserve">čnih zaduživanja.  Općina Velika Pisanica koristila je dopušteno prekoračenje po žiro računu na rok vraćanja od 12 mjeseci u iznosu od 300.000,00 kuna što je podmireno s 29.04.2025. u iskorištenom iznosu od 285.082,57.  OBRAZLOŽENJE OBVEZA  Obveze na početku razdoblja iznosile su 442.023,38 eura.  Povećanje obveza iznosi ukupno 1.037.695,50 eura a podmirenje 873.760,68 eura.  Stanje obveza na kraju razdoblja iznosi ukupno 605.958,20 eura Dospjele obveze            4.342,33 1.Obveze za rashode poslovanja    </w:t>
      </w:r>
      <w:r>
        <w:t xml:space="preserve">                  1.535,19 2.Obveze za kredit                                                             2.323,88 3.Obveze za predujmove                                                      483,26   Nedospjele obveze         601.615,87 1.Obveze za rashode poslovanja            6.362,58 2. Obveze za nefin.imovinu                                                2.371,45 2. Obveze za kredite i zajmove                                       592.881,84  Općina Velika Pisanica zadužila se kratkoročno kod poslovne </w:t>
      </w:r>
      <w:r>
        <w:t>banke na rok otplate jednokratno na 12 mjeseci u iznosu od 400.000,00 radi likvidnosti tj. podmirenja redovnih obveza te ostalih projekata u tijeku. Zatražili smo kratkoročni kredit od Privredne banke kako bi zatvorili tekuće obveze obzirom da smo investirali u izgradnju vrtića 864.745,32 eura a dobili smo 50% od iznosa u 2023 godini.  Zatvorit ćemo povratom sredstava koji trebamo dobiti nakon provjere sve potrebne dokumentacije o završetku izgradnje i zahtjevom za povrat.</w:t>
      </w:r>
    </w:p>
    <w:p w14:paraId="3A137563" w14:textId="77777777" w:rsidR="0047357A" w:rsidRDefault="001F56B5">
      <w:r>
        <w:br/>
      </w:r>
    </w:p>
    <w:p w14:paraId="178B2EEF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4CE2DD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443BD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79D5A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C4A8F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500A8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6E30E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16881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2FE40C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DD509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F28160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A282E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41A30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69.697,45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DAD74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108.710,05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42B75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156,0</w:t>
            </w:r>
          </w:p>
        </w:tc>
      </w:tr>
    </w:tbl>
    <w:p w14:paraId="5AB24C04" w14:textId="77777777" w:rsidR="0047357A" w:rsidRDefault="0047357A">
      <w:pPr>
        <w:spacing w:after="0"/>
      </w:pPr>
    </w:p>
    <w:p w14:paraId="051B233A" w14:textId="77777777" w:rsidR="0047357A" w:rsidRDefault="001F56B5">
      <w:pPr>
        <w:spacing w:line="240" w:lineRule="auto"/>
        <w:jc w:val="both"/>
      </w:pPr>
      <w:r>
        <w:t>61-Prihodi od poreza - u odnosu na ukupno ostvarene prihode prethodne godine znatno su povećani,  znatno povećanje se odnosi na prihode od poreza na dohodak od nesamostalnog rada i poreza na promet nekretninama.</w:t>
      </w:r>
    </w:p>
    <w:p w14:paraId="7D231F84" w14:textId="77777777" w:rsidR="0047357A" w:rsidRDefault="0047357A"/>
    <w:p w14:paraId="477CF4AD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4E598A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37614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59FF4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62072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76FD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B187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6B3B8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2089D2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2EA3B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50AE41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9BEC4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84629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87.931,80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86E61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259.679,64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F771F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295,3</w:t>
            </w:r>
          </w:p>
        </w:tc>
      </w:tr>
    </w:tbl>
    <w:p w14:paraId="624D1FBB" w14:textId="77777777" w:rsidR="0047357A" w:rsidRDefault="0047357A">
      <w:pPr>
        <w:spacing w:after="0"/>
      </w:pPr>
    </w:p>
    <w:p w14:paraId="43C73A4D" w14:textId="77777777" w:rsidR="0047357A" w:rsidRDefault="001F56B5">
      <w:pPr>
        <w:spacing w:line="240" w:lineRule="auto"/>
        <w:jc w:val="both"/>
      </w:pPr>
      <w:r>
        <w:t>63-Pomoći proračunu unutar općeg proračuna ostvarene su u iznosu od 259.679,64 eura  633-Tekuće pomoći iz županijskog proračuna ostvarene su u iznosu od 9.555,81 eura i odnosi se na sufinanciranje rada biračkog odbora za provedbu predsjedničkih izbora. 634- Tekuće pomoći ostvarene su u iznosu od 3.775,94 eura i odnosi se na sufinanciranje rada biračkog odbora za provedbu predsjedničkih izbora.  635-Tekuće pomoći fiskalnog izravnanja u iznosu od 189.258,24 eura što dobivamo u jednakim mjesečnim anuitetima 63</w:t>
      </w:r>
      <w:r>
        <w:t>8- Pomoći iz državnog proračuna temeljem prijenosa EU sredstava, a odnosi se na tekuće pomoći iz Proračuna          JLP( R )S temeljem prijenosa EU sredstava te su pomoći po projektu Za žene V. Grđevac za redovan rad (plaće) u iznosu od 57.089,65 eura</w:t>
      </w:r>
    </w:p>
    <w:p w14:paraId="4D146EFE" w14:textId="77777777" w:rsidR="0047357A" w:rsidRDefault="0047357A"/>
    <w:p w14:paraId="23F2EA01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660BA9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7F923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D8637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29EEF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7FE15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B5282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907C4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0321E4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1DA39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FDAFE0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0DED1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0EBD6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48.272,24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470F2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19.252,93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DC596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39,9</w:t>
            </w:r>
          </w:p>
        </w:tc>
      </w:tr>
    </w:tbl>
    <w:p w14:paraId="46568054" w14:textId="77777777" w:rsidR="0047357A" w:rsidRDefault="0047357A">
      <w:pPr>
        <w:spacing w:after="0"/>
      </w:pPr>
    </w:p>
    <w:p w14:paraId="7F85E244" w14:textId="77777777" w:rsidR="0047357A" w:rsidRDefault="001F56B5">
      <w:pPr>
        <w:spacing w:line="240" w:lineRule="auto"/>
        <w:jc w:val="both"/>
      </w:pPr>
      <w:r>
        <w:t>Prihodi od nefinancijske imovine odnose se na prihode po osnovi zakupa i iznajmljivanja imovine, za naknade za korištenje nefinancijske imovine (naknade za eksploataciju min. sirovina-Ina, spomenička renta, korištenja plinske mreže, te na ostale prihode od nefinancijske imovine.</w:t>
      </w:r>
    </w:p>
    <w:p w14:paraId="4E46540C" w14:textId="77777777" w:rsidR="0047357A" w:rsidRDefault="0047357A"/>
    <w:p w14:paraId="7B13283F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0170D0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BFB9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E94C2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DC154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E67BD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EAEA7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F1336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6F30D4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EFFC1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A67338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F0410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B8FB0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18.838,81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41D6B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65.449,47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95A7A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347,4</w:t>
            </w:r>
          </w:p>
        </w:tc>
      </w:tr>
    </w:tbl>
    <w:p w14:paraId="3F5659EC" w14:textId="77777777" w:rsidR="0047357A" w:rsidRDefault="0047357A">
      <w:pPr>
        <w:spacing w:after="0"/>
      </w:pPr>
    </w:p>
    <w:p w14:paraId="6EC47797" w14:textId="77777777" w:rsidR="0047357A" w:rsidRDefault="001F56B5">
      <w:pPr>
        <w:spacing w:line="240" w:lineRule="auto"/>
        <w:jc w:val="both"/>
      </w:pPr>
      <w:r>
        <w:t>65-Prihodi od upravnih i administrativnih pristojbi, pristojbi po posebnim propisima i prihodi od naknada   ostvareni su u iznosu od 65.449,47,  651- Prihodi od upravnih i administrativnih pristojbi ostvaren u iznosu od 10.920,18 eura odnosi se na prihode temeljem Odluke o upravljanju grobljima na području općine Velika Pisanica (dozvole za rad na groblju, grobne naknade, dodjele grobnih mjesta).  652- Prihodi po posebnim propisima ostvareni u iznosu od 35.451,60 eura i sastoje se od prihoda od doprinosa za</w:t>
      </w:r>
      <w:r>
        <w:t xml:space="preserve"> šume ostvarenih u iznosu od 34.927,53 eura te ostalih nespomenutih prihodi u iznosu od 524,7 eura. 653- Prihodi od komunalnog doprinosa i naknada ostvareni su u iznosu od 19.077,69 eura. Prihodi se odnose na prihode od komunalne naknade od pravnih osoba te od fizičkih osoba.</w:t>
      </w:r>
    </w:p>
    <w:p w14:paraId="022CD94A" w14:textId="77777777" w:rsidR="0047357A" w:rsidRDefault="0047357A"/>
    <w:p w14:paraId="0D98A20F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380605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DD971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B932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9F7FE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BB287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CA435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463D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0551C9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3FDD4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2D93D7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D9989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81554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46.716,74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671B65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127.179,60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2D066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272,2</w:t>
            </w:r>
          </w:p>
        </w:tc>
      </w:tr>
    </w:tbl>
    <w:p w14:paraId="2DB2A5A0" w14:textId="77777777" w:rsidR="0047357A" w:rsidRDefault="0047357A">
      <w:pPr>
        <w:spacing w:after="0"/>
      </w:pPr>
    </w:p>
    <w:p w14:paraId="3988B24F" w14:textId="77777777" w:rsidR="0047357A" w:rsidRDefault="001F56B5">
      <w:pPr>
        <w:spacing w:line="240" w:lineRule="auto"/>
        <w:jc w:val="both"/>
      </w:pPr>
      <w:r>
        <w:t>31-Rashodi za zaposlene ostvareni su u iznosu od 54.821,85 eura ukupno 13 djelatnika u nastavku obrazloženje Troškovi su znatno povećani jer tijekom 2024. godine zaposleno je 8 žena za pomoć starijim i nemoćnim</w:t>
      </w:r>
    </w:p>
    <w:p w14:paraId="4C2D499B" w14:textId="77777777" w:rsidR="0047357A" w:rsidRDefault="0047357A"/>
    <w:p w14:paraId="006D8F09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1E4785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509F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B0278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AA977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41C2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93A3E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C4533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6B4628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6CB3F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0FFB91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2AEAF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645494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39.323,05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D85E9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106.034,34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714D0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269,6</w:t>
            </w:r>
          </w:p>
        </w:tc>
      </w:tr>
    </w:tbl>
    <w:p w14:paraId="7D9B3E37" w14:textId="77777777" w:rsidR="0047357A" w:rsidRDefault="0047357A">
      <w:pPr>
        <w:spacing w:after="0"/>
      </w:pPr>
    </w:p>
    <w:p w14:paraId="47AEB532" w14:textId="77777777" w:rsidR="0047357A" w:rsidRDefault="001F56B5">
      <w:pPr>
        <w:spacing w:line="240" w:lineRule="auto"/>
        <w:jc w:val="both"/>
      </w:pPr>
      <w:r>
        <w:t>311-Najveći udio u rashodima za zaposlene imaju bruto plaće zaposlenih (zaposlenici Općine, , privremeno zaposleni i za osam djelatnica po programu Za žene Veliki Grđevac), za koje je utrošeno 106.034,34 EUR a odnose se na:  - plaće službenici – 36.737,30, plaća načelnika – 17.175,69, privremeno zaposleni – 6.792,26, plaće za osam žena po programu – 45.329,09,</w:t>
      </w:r>
    </w:p>
    <w:p w14:paraId="146A2AB0" w14:textId="77777777" w:rsidR="0047357A" w:rsidRDefault="0047357A"/>
    <w:p w14:paraId="47F46E84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0FDA2E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089D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5707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8AA9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584DA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66DC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EF358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341DF6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0A25C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D18CB3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F6A60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092F4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28FAE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ED569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400,6</w:t>
            </w:r>
          </w:p>
        </w:tc>
      </w:tr>
    </w:tbl>
    <w:p w14:paraId="7C90539A" w14:textId="77777777" w:rsidR="0047357A" w:rsidRDefault="0047357A">
      <w:pPr>
        <w:spacing w:after="0"/>
      </w:pPr>
    </w:p>
    <w:p w14:paraId="47E44710" w14:textId="77777777" w:rsidR="0047357A" w:rsidRDefault="001F56B5">
      <w:pPr>
        <w:spacing w:line="240" w:lineRule="auto"/>
        <w:jc w:val="both"/>
      </w:pPr>
      <w:r>
        <w:t>312- ostale rashode za zaposlene (regres, uskrsnica, paušalni iznos za prehranu) utrošeno je 3.627,40,</w:t>
      </w:r>
    </w:p>
    <w:p w14:paraId="1B86FE11" w14:textId="77777777" w:rsidR="0047357A" w:rsidRDefault="0047357A"/>
    <w:p w14:paraId="24CD9012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1F0D91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CB75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346C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FDC0B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98D54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FA89A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41B07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46A511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08059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98C54D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5F531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2C0097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1F65A4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17.517,86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B14AD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270,0</w:t>
            </w:r>
          </w:p>
        </w:tc>
      </w:tr>
    </w:tbl>
    <w:p w14:paraId="4597A819" w14:textId="77777777" w:rsidR="0047357A" w:rsidRDefault="0047357A">
      <w:pPr>
        <w:spacing w:after="0"/>
      </w:pPr>
    </w:p>
    <w:p w14:paraId="6618B154" w14:textId="77777777" w:rsidR="0047357A" w:rsidRDefault="001F56B5">
      <w:pPr>
        <w:spacing w:line="240" w:lineRule="auto"/>
        <w:jc w:val="both"/>
      </w:pPr>
      <w:r>
        <w:t>313-utrošena sredstva od 17.517,86, odnose se na sveukupne rashode za doprinose na plaću.</w:t>
      </w:r>
    </w:p>
    <w:p w14:paraId="5C57D315" w14:textId="77777777" w:rsidR="0047357A" w:rsidRDefault="0047357A"/>
    <w:p w14:paraId="3049B83A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7BDCF4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D5C9E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6E12E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97C0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6E11F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722ED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3AE92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69BE27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A73FA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9029F1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5E082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2D2E3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12B74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CC493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274,6</w:t>
            </w:r>
          </w:p>
        </w:tc>
      </w:tr>
    </w:tbl>
    <w:p w14:paraId="3EFF1DA4" w14:textId="77777777" w:rsidR="0047357A" w:rsidRDefault="0047357A">
      <w:pPr>
        <w:spacing w:after="0"/>
      </w:pPr>
    </w:p>
    <w:p w14:paraId="5C20EDE0" w14:textId="77777777" w:rsidR="0047357A" w:rsidRDefault="001F56B5">
      <w:pPr>
        <w:spacing w:line="240" w:lineRule="auto"/>
        <w:jc w:val="both"/>
      </w:pPr>
      <w:r>
        <w:t>321-Naknade troškova zaposlenima iznose su 5.266,25 eura. Unutar naknada troškova zaposlenima rashodi se odnose na službena putovanja, naknade za prijevoz na posao i s posla, stručno usavršavanje i korištenje privatnog automobila u službene svrhe.</w:t>
      </w:r>
    </w:p>
    <w:p w14:paraId="76528748" w14:textId="77777777" w:rsidR="0047357A" w:rsidRDefault="0047357A"/>
    <w:p w14:paraId="571CDE59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7995C0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AECA7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580D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D489F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7C74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53F52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AF3BF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308D7E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061D7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8631B8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E5E05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9ED10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11.294,52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685368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23.368,89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49965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206,9</w:t>
            </w:r>
          </w:p>
        </w:tc>
      </w:tr>
    </w:tbl>
    <w:p w14:paraId="3F4080AB" w14:textId="77777777" w:rsidR="0047357A" w:rsidRDefault="0047357A">
      <w:pPr>
        <w:spacing w:after="0"/>
      </w:pPr>
    </w:p>
    <w:p w14:paraId="2894FC36" w14:textId="77777777" w:rsidR="0047357A" w:rsidRDefault="001F56B5">
      <w:pPr>
        <w:spacing w:line="240" w:lineRule="auto"/>
        <w:jc w:val="both"/>
      </w:pPr>
      <w:r>
        <w:t>322-Rashodi za materijal i energiju ostvareni su u iznosu od 23.368,89 eura od čega je za  -uredski materijal i ostale materijalne rashode (literatura, sredstva za čišćenje, higijenske potrebe i njegu) utrošeno 3.015,16 eura,  -materijali sirovine utrošeno je 121,74 eura -za energiju 9.072,92 eura,  za električnu energiju u domovima i zgradama u vlasništvu općine i javne rasvjete 6.368,85 eura, za plin 1.261,74 eura a za motorni benzin i gorivo za kosilice u iznosu od 1.442,33 eura,  -za materijal i dijelov</w:t>
      </w:r>
      <w:r>
        <w:t>e za tekuće i investicijsko održavanje (nabava cijevi, kamena, materijala za domove i sl.) utrošeno je 8.257,67 euro, za sitni inventar utrošeno je 2.901,40 eura.</w:t>
      </w:r>
    </w:p>
    <w:p w14:paraId="769C6028" w14:textId="77777777" w:rsidR="0047357A" w:rsidRDefault="0047357A"/>
    <w:p w14:paraId="6821D5BD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2B70ED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1B38F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2777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E46F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5E5DA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F876E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B5963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2B553C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56BF5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EB4B78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AF1EE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0038E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57.784,87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51061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119.984,31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21465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207,6</w:t>
            </w:r>
          </w:p>
        </w:tc>
      </w:tr>
    </w:tbl>
    <w:p w14:paraId="000E0964" w14:textId="77777777" w:rsidR="0047357A" w:rsidRDefault="0047357A">
      <w:pPr>
        <w:spacing w:after="0"/>
      </w:pPr>
    </w:p>
    <w:p w14:paraId="358AFFE5" w14:textId="77777777" w:rsidR="0047357A" w:rsidRDefault="001F56B5">
      <w:pPr>
        <w:spacing w:line="240" w:lineRule="auto"/>
        <w:jc w:val="both"/>
      </w:pPr>
      <w:r>
        <w:t>323-Rashode za usluge izdvojeno je 119.984,31 eura  -Za usluge telefona, interneta i pošte utrošeno je 4.897,81 eura,   -Za usluge tekućeg i investicijskog održavanja izdvojeno je 59.362,83 eura.             Od navedenog iznosa tekućeg i investicijskog održavanja dio od 6.144,08 eura odnosi se na uslugu čišćenja zgrade općine i održavanje javnih površina,  iznos od  1.437,75 eura za uslugu održavanja opreme (računala, grijanja i sl.) iznos od  1.193,75 za održavanje javne rasvjete (zamjena žarulja i sl.), i</w:t>
      </w:r>
      <w:r>
        <w:t>znos od 16.395,00 eura odnosi se  na uslugu održavanja grobalja i zelenih površina (košnja), navoz i prijevoz kamena na puteve u iznosu od 16.772,09 eura, za malčiranje zapuštenih javnih površina u iznosu od 3.764,25 eura te čišćenje putnih jaraka i kopanje graba u iznosu od 7.596,88 eura -Za usluge promidžbe i informiranja izdvojeno je 8.019,07,  -za komunalne usluge izdvojeno 20.311,95 eura. Od tog iznosa najviše se odnosi na plaćanje usluge deratizacije i dezinsekcije u iznosu od 10.325,56 eura i Veterin</w:t>
      </w:r>
      <w:r>
        <w:t>arskoj stanici Bjelovar za zbrinjavanje pasa lutalica (smještaj u azilu) u iznosu od 7.185,84 eura. -za usluge zakupnina i najamnina izdvojeno je 1.031,04 koje se odnose na najmove spremnika za smeće te aparata za vodu.  -za zdravstvene usluge izdvojeno je 954,40 eura, usluge se odnose na zdravstveni pregled zaposlenika te ostale veterinarske usluge (sterilizacija-kastracija životinja)  -za računalne usluge utrošeno je 3.813,06 eura, odnose se na ugovorne obveze za tehničku podršku održavanja računalnih pro</w:t>
      </w:r>
      <w:r>
        <w:t>grama  -intelektualne usluge odnose se za provedbu dana Ede Murtića te organizaciju Dana Općine te konzultantske usluge u iznosu od 18.082,28 -za ostale usluge utrošeno 3.511,87</w:t>
      </w:r>
    </w:p>
    <w:p w14:paraId="3087C15F" w14:textId="77777777" w:rsidR="0047357A" w:rsidRDefault="0047357A"/>
    <w:p w14:paraId="63121E12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69E36A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87A18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0D797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B92C5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A8462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55DE5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0002B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436C88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E89D0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79DCE9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CA325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BADBE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13.771,27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3509B2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37.448,78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1C9EE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271,9</w:t>
            </w:r>
          </w:p>
        </w:tc>
      </w:tr>
    </w:tbl>
    <w:p w14:paraId="35B3E275" w14:textId="77777777" w:rsidR="0047357A" w:rsidRDefault="0047357A">
      <w:pPr>
        <w:spacing w:after="0"/>
      </w:pPr>
    </w:p>
    <w:p w14:paraId="510368DC" w14:textId="77777777" w:rsidR="0047357A" w:rsidRDefault="001F56B5">
      <w:pPr>
        <w:spacing w:line="240" w:lineRule="auto"/>
        <w:jc w:val="both"/>
      </w:pPr>
      <w:r>
        <w:t>329-Ostali nespomenuti rashodi poslovanja iznosili su 37.448,78 euro Odnose se na: -naknade za rad vijeća u iznosu od 582,30 -za rashode za premije osiguranja prijevoznih sredstava utrošeno je 1.061,30 eura,  -za reprezentaciju utrošeno je 6.223,11 eura,  -za članarine (Udruga Općina, LAG-u,) utrošeno je 1.361,4 eura,  -za pristojbe i naknade izdvojeno je 1.479,48 eura (javnobilježničke usluge) -za ostale nespomenute rashode poslovanja u iznosu od 26.741,15 eura (rashodi protokola, troškovi predsjedničkih i</w:t>
      </w:r>
      <w:r>
        <w:t xml:space="preserve"> lokalnih izbora i sl.)</w:t>
      </w:r>
    </w:p>
    <w:p w14:paraId="0ADAAF45" w14:textId="77777777" w:rsidR="0047357A" w:rsidRDefault="0047357A"/>
    <w:p w14:paraId="02829A66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0814E6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9F49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97E9A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AD5CD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8FCFB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DE50D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90294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32F8A0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4A9B0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7E8CDF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F08E0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44640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7ED07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9.516,73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CEEF9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1252,7</w:t>
            </w:r>
          </w:p>
        </w:tc>
      </w:tr>
    </w:tbl>
    <w:p w14:paraId="0735D4C5" w14:textId="77777777" w:rsidR="0047357A" w:rsidRDefault="0047357A">
      <w:pPr>
        <w:spacing w:after="0"/>
      </w:pPr>
    </w:p>
    <w:p w14:paraId="37302C1C" w14:textId="77777777" w:rsidR="0047357A" w:rsidRDefault="001F56B5">
      <w:pPr>
        <w:spacing w:line="240" w:lineRule="auto"/>
        <w:jc w:val="both"/>
      </w:pPr>
      <w:r>
        <w:t>34-Financijski rashodi ostvareni su u iznosu od 9.516,73 Odnose se: -na kamate za primljene kredite te kratkoročne kredite po prekoračenju u iznosu od  5.456,65,  -na ostale financijske rashode u iznosu od 4.060,08 (bankarske usluge, te usluge obrade kredita),</w:t>
      </w:r>
    </w:p>
    <w:p w14:paraId="4E18FDE5" w14:textId="77777777" w:rsidR="0047357A" w:rsidRDefault="0047357A"/>
    <w:p w14:paraId="2FD11E39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779927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136FE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77048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B7B55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74B6A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4EBB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29208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1F313A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131F6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367D50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242D2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A6D8C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C965FC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A2B04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3677,7</w:t>
            </w:r>
          </w:p>
        </w:tc>
      </w:tr>
    </w:tbl>
    <w:p w14:paraId="3EA4F35D" w14:textId="77777777" w:rsidR="0047357A" w:rsidRDefault="0047357A">
      <w:pPr>
        <w:spacing w:after="0"/>
      </w:pPr>
    </w:p>
    <w:p w14:paraId="5918FB91" w14:textId="77777777" w:rsidR="0047357A" w:rsidRDefault="001F56B5">
      <w:pPr>
        <w:spacing w:line="240" w:lineRule="auto"/>
        <w:jc w:val="both"/>
      </w:pPr>
      <w:r>
        <w:t>35-Subvencije ostvareni su rashodi u iznosu od 1.464,48 eura i odnose se na subvencije poljoprivrednicima, trg, društvima za zapošljavanje te za veterinarske usluge</w:t>
      </w:r>
    </w:p>
    <w:p w14:paraId="2E77E024" w14:textId="77777777" w:rsidR="0047357A" w:rsidRDefault="0047357A"/>
    <w:p w14:paraId="47DE7F39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03D701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385C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EDAA3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6686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0BC78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B1B23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CFBDD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78CCD1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C097A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E46C1A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41908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11DDA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2F4C9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24.497,52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58C86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1845,8</w:t>
            </w:r>
          </w:p>
        </w:tc>
      </w:tr>
    </w:tbl>
    <w:p w14:paraId="6498F571" w14:textId="77777777" w:rsidR="0047357A" w:rsidRDefault="0047357A">
      <w:pPr>
        <w:spacing w:after="0"/>
      </w:pPr>
    </w:p>
    <w:p w14:paraId="5B0CDFC4" w14:textId="77777777" w:rsidR="0047357A" w:rsidRDefault="001F56B5">
      <w:pPr>
        <w:spacing w:line="240" w:lineRule="auto"/>
        <w:jc w:val="both"/>
      </w:pPr>
      <w:r>
        <w:t>36-Pomoći dane u inozemstvo i unutar općeg proračuna ostvareni su u iznosu od 24.497,52 eura   Tekuće pomoći, pomoći proračunskim korisnicima drugih proračuna za redovan rad dječjeg vrtića te Osnovnoj školi.</w:t>
      </w:r>
    </w:p>
    <w:p w14:paraId="17F15BBD" w14:textId="77777777" w:rsidR="0047357A" w:rsidRDefault="0047357A"/>
    <w:p w14:paraId="21592CF7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04613B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EC842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58596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29DD7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E0C7B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1C08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48A1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585329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3B7F2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547E4D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E4370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DF615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16.525,14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647AB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17.844,00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81BE6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108,0</w:t>
            </w:r>
          </w:p>
        </w:tc>
      </w:tr>
    </w:tbl>
    <w:p w14:paraId="097BA3F1" w14:textId="77777777" w:rsidR="0047357A" w:rsidRDefault="0047357A">
      <w:pPr>
        <w:spacing w:after="0"/>
      </w:pPr>
    </w:p>
    <w:p w14:paraId="674D1549" w14:textId="77777777" w:rsidR="0047357A" w:rsidRDefault="001F56B5">
      <w:pPr>
        <w:spacing w:line="240" w:lineRule="auto"/>
        <w:jc w:val="both"/>
      </w:pPr>
      <w:r>
        <w:t>372- Ostale naknade građanima i kućanstvima iz proračuna Predmetni se rashodi u dijelu od 13.540,00 odnose na naknade isplaćene u novcu, a u dijelu od 4.304,00 na naknade u naravi. -Naknade u novcu se odnose na naknade za novorođenčad 550,00 EUR, isplate za pomoći obiteljima i kućanstvima u iznosu od 550,00 EUR, Božićnice umirovljenicima u iznosu od 40,00 EUR, sufinanciranje rješavanja stambenog pitanja u iznosu od 12.000,00 EUR te darivanje djece za ostvarene rezultate na natjecanjima u iznosu od 400,00 eu</w:t>
      </w:r>
      <w:r>
        <w:t>ra -Naknade isplaćene u naravi odnose se na naknade za sufinanciranje prijevoza učenika 1.254,00, sufinanciranje naknade za boravak djece u vrtiću u iznosu od 3.050,00.</w:t>
      </w:r>
    </w:p>
    <w:p w14:paraId="13368F54" w14:textId="77777777" w:rsidR="0047357A" w:rsidRDefault="0047357A"/>
    <w:p w14:paraId="2F253C05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1304C8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C4FA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795BA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7C9E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A5C45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28E5F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C9B0A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48C5BD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2C4CC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C48A84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2E3EF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F3CF0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8.890,67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01995C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50D8E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368,9</w:t>
            </w:r>
          </w:p>
        </w:tc>
      </w:tr>
    </w:tbl>
    <w:p w14:paraId="650C6ACD" w14:textId="77777777" w:rsidR="0047357A" w:rsidRDefault="0047357A">
      <w:pPr>
        <w:spacing w:after="0"/>
      </w:pPr>
    </w:p>
    <w:p w14:paraId="286A1955" w14:textId="77777777" w:rsidR="0047357A" w:rsidRDefault="001F56B5">
      <w:pPr>
        <w:spacing w:line="240" w:lineRule="auto"/>
        <w:jc w:val="both"/>
      </w:pPr>
      <w:r>
        <w:t>381-Ostali rashodi Isti su ostvareni u iznosu od 32.800,00 eura, Rashodi se odnose se na rashode za tekuće donacije u novcu udrugama i vatrogasnoj zajednici</w:t>
      </w:r>
    </w:p>
    <w:p w14:paraId="095AAA13" w14:textId="77777777" w:rsidR="0047357A" w:rsidRDefault="0047357A"/>
    <w:p w14:paraId="763B465C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7C5686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71EBF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371CF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1E5AB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4B84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F1A06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60691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32F351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29B38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B973B5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8C1B8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C76F4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7C3093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0719C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83CD78" w14:textId="77777777" w:rsidR="0047357A" w:rsidRDefault="0047357A">
      <w:pPr>
        <w:spacing w:after="0"/>
      </w:pPr>
    </w:p>
    <w:p w14:paraId="4A6E5926" w14:textId="77777777" w:rsidR="0047357A" w:rsidRDefault="001F56B5">
      <w:pPr>
        <w:spacing w:line="240" w:lineRule="auto"/>
        <w:jc w:val="both"/>
      </w:pPr>
      <w:r>
        <w:t>3812- donacija u naravi za ostvarene rezultate u iznosu od 200,00 eura</w:t>
      </w:r>
    </w:p>
    <w:p w14:paraId="065ED782" w14:textId="77777777" w:rsidR="0047357A" w:rsidRDefault="0047357A"/>
    <w:p w14:paraId="7F7E3B63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3DBF03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948C4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94E28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85542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BA11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EC5B7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3F4B1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06A3EC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32B44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9FB993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neproizvedene dugotrajne imovine (šifre 711+712)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F2F7E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DCE9D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6.743,31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C2EB6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8AF25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3,3</w:t>
            </w:r>
          </w:p>
        </w:tc>
      </w:tr>
    </w:tbl>
    <w:p w14:paraId="59BB27DF" w14:textId="77777777" w:rsidR="0047357A" w:rsidRDefault="0047357A">
      <w:pPr>
        <w:spacing w:after="0"/>
      </w:pPr>
    </w:p>
    <w:p w14:paraId="7BF58859" w14:textId="77777777" w:rsidR="0047357A" w:rsidRDefault="001F56B5">
      <w:pPr>
        <w:spacing w:line="240" w:lineRule="auto"/>
        <w:jc w:val="both"/>
      </w:pPr>
      <w:r>
        <w:t>71-Prihodi od prodaje neproizvedene dugotrajne imovine ostvareni su u iznosu od 224,31 eura i odnose se na prodaju poljoprivrednog zemljišta u vlasništvu RH.</w:t>
      </w:r>
    </w:p>
    <w:p w14:paraId="157CC595" w14:textId="77777777" w:rsidR="0047357A" w:rsidRDefault="0047357A"/>
    <w:p w14:paraId="6EB4935B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440F3E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60D0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ED93A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0606F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05E6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2C50D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E5492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25C964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DB00F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B7F715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proizvedene dugotrajne imovine (šifre 721+722+723+724+725+726)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EACFB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8EF68C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9518C7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43B72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A17AAF1" w14:textId="77777777" w:rsidR="0047357A" w:rsidRDefault="0047357A">
      <w:pPr>
        <w:spacing w:after="0"/>
      </w:pPr>
    </w:p>
    <w:p w14:paraId="3905A22A" w14:textId="77777777" w:rsidR="0047357A" w:rsidRDefault="001F56B5">
      <w:pPr>
        <w:spacing w:line="240" w:lineRule="auto"/>
        <w:jc w:val="both"/>
      </w:pPr>
      <w:r>
        <w:t>72-Prihodi od prodaje proizvedene dugotrajne imovine ostvareni su u iznosu od 127,57 eura i odnosi se na prihode od prodaje stanova na kojima postoji stanarsko pravo te prodaje nekretnina u vlasništvu općine.</w:t>
      </w:r>
    </w:p>
    <w:p w14:paraId="282AEB18" w14:textId="77777777" w:rsidR="0047357A" w:rsidRDefault="0047357A"/>
    <w:p w14:paraId="1189B649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4CC076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2DBB2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318F3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101AA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9930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94257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2C731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172B9F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EBBDC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C9929C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A1A2E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B1054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E5A80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95.407,20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2E799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9540,7</w:t>
            </w:r>
          </w:p>
        </w:tc>
      </w:tr>
    </w:tbl>
    <w:p w14:paraId="7F88CC03" w14:textId="77777777" w:rsidR="0047357A" w:rsidRDefault="0047357A">
      <w:pPr>
        <w:spacing w:after="0"/>
      </w:pPr>
    </w:p>
    <w:p w14:paraId="3E077BA9" w14:textId="77777777" w:rsidR="0047357A" w:rsidRDefault="001F56B5">
      <w:pPr>
        <w:spacing w:line="240" w:lineRule="auto"/>
        <w:jc w:val="both"/>
      </w:pPr>
      <w:r>
        <w:t>421-Rashodi za građevinske objekte ostvareni su u iznosu od 95.407,20.        Ostvaren iznos odnosi se na izgradnju nogostupa u Velikoj Pisanici</w:t>
      </w:r>
    </w:p>
    <w:p w14:paraId="401FE3E0" w14:textId="77777777" w:rsidR="0047357A" w:rsidRDefault="0047357A"/>
    <w:p w14:paraId="2275EE48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2DC675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2F4D5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75D75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90F52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D9102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0D9DD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2A87D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5F4DD2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7F677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70A13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A4263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18E61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004D7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9.306,45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691A2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78DE8D3" w14:textId="77777777" w:rsidR="0047357A" w:rsidRDefault="0047357A">
      <w:pPr>
        <w:spacing w:after="0"/>
      </w:pPr>
    </w:p>
    <w:p w14:paraId="2A29C8F6" w14:textId="77777777" w:rsidR="0047357A" w:rsidRDefault="001F56B5">
      <w:pPr>
        <w:spacing w:line="240" w:lineRule="auto"/>
        <w:jc w:val="both"/>
      </w:pPr>
      <w:r>
        <w:t>422-Rashodi nabavu opreme ostvareni su u iznosu od 9.306,45 eura odnose se za  -nabavu novog računala 1.161,43,  -komun.oprema za vrtić 299,80 -opreme za grijanje opreme za meteorološku stanicu 3.312,50 i  -opremu za vrtić 2.021,23</w:t>
      </w:r>
    </w:p>
    <w:p w14:paraId="200F44D5" w14:textId="77777777" w:rsidR="0047357A" w:rsidRDefault="0047357A"/>
    <w:p w14:paraId="04D07374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14BE43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9D4F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C3842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73A14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C060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F2E0E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692E6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4EF810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B8C19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7A949E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43CB3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98DED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669FC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20.872,50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C9474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ADB4A1" w14:textId="77777777" w:rsidR="0047357A" w:rsidRDefault="0047357A">
      <w:pPr>
        <w:spacing w:after="0"/>
      </w:pPr>
    </w:p>
    <w:p w14:paraId="2BF7533D" w14:textId="77777777" w:rsidR="0047357A" w:rsidRDefault="001F56B5">
      <w:pPr>
        <w:spacing w:line="240" w:lineRule="auto"/>
        <w:jc w:val="both"/>
      </w:pPr>
      <w:r>
        <w:t>426-Rashodi za nabavu nematerijalne imovine ostvareni su u iznosu od 20.872,50 eura a odnose se na: -ulaganja u računalne programe (digitalizacija) u iznosu od 9.897,50 -izmjena prostornog plana u iznosu od 4.950,00 eura -projektiranja za šumsku cestu u iznosu od 5.000,00 -projektiranje za dječje igralište u iznosu od 625,00 eura</w:t>
      </w:r>
    </w:p>
    <w:p w14:paraId="4A412154" w14:textId="77777777" w:rsidR="0047357A" w:rsidRDefault="0047357A"/>
    <w:p w14:paraId="3FA86902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4B730D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1553B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F9AAB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D4A9E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46797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6DDAE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31D2D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02F569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34262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A66E8A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B5BCD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DC619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5AC63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18.262,01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31CD2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600,9</w:t>
            </w:r>
          </w:p>
        </w:tc>
      </w:tr>
    </w:tbl>
    <w:p w14:paraId="1BD84D7C" w14:textId="77777777" w:rsidR="0047357A" w:rsidRDefault="0047357A">
      <w:pPr>
        <w:spacing w:after="0"/>
      </w:pPr>
    </w:p>
    <w:p w14:paraId="54215E12" w14:textId="77777777" w:rsidR="0047357A" w:rsidRDefault="001F56B5">
      <w:pPr>
        <w:spacing w:line="240" w:lineRule="auto"/>
        <w:jc w:val="both"/>
      </w:pPr>
      <w:r>
        <w:t>45-Rashodi za dodatna ulaganja na nefinancijskoj imovini ostvareni su u iznosu od 18.262,01 eura i odnose se na  -troškove ulaganja na društvenom domu u Novoj Pisanici 15.890,56 -okončana situacija za nadzor izgradnje vrtića 2.371,45</w:t>
      </w:r>
    </w:p>
    <w:p w14:paraId="1F22C915" w14:textId="77777777" w:rsidR="0047357A" w:rsidRDefault="0047357A"/>
    <w:p w14:paraId="1488FDBA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505232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A8CE7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C6CF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BDFB1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18575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9B29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549EF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44FA01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75A4A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2FB7DA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zaduživanja (šifre 841+842+843+844+845+847)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D007C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86A2A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DB449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489.823,11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A24FD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0F2ADA" w14:textId="77777777" w:rsidR="0047357A" w:rsidRDefault="0047357A">
      <w:pPr>
        <w:spacing w:after="0"/>
      </w:pPr>
    </w:p>
    <w:p w14:paraId="4EEBB9EC" w14:textId="77777777" w:rsidR="0047357A" w:rsidRDefault="001F56B5">
      <w:pPr>
        <w:spacing w:line="240" w:lineRule="auto"/>
        <w:jc w:val="both"/>
      </w:pPr>
      <w:r>
        <w:t>84-Primici od financijske imovine i zaduživanja ostvareni su u iznosu od 489.823,11 eura. Primici u iznosu od 400.000,00 eura odnosi se na kratkoročni kredit od Privredne banke kako bi zatvorili tekuće obveze obzirom da smo investirali u izgradnju vrtića 864.745,32 eura a dobili smo 50% od iznosa u 2023 godini.  Zatvorit ćemo povratom sredstava koji trebamo dobiti nakon provjere sve potrebne dokumentacije o završetku izgradnje i zahtjevom za povrat Općina Velika Pisanica zadužila se kratkoročno kod poslovne</w:t>
      </w:r>
      <w:r>
        <w:t xml:space="preserve"> banke na rok otplate jednokratno na 12 mjeseci Te primici u iznosu od 89.823,11 prekoračenje po žiro računu u 2025. godini (razlika) iz 2024.</w:t>
      </w:r>
    </w:p>
    <w:p w14:paraId="44486C93" w14:textId="77777777" w:rsidR="0047357A" w:rsidRDefault="0047357A"/>
    <w:p w14:paraId="297A1513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357A" w14:paraId="074E14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7534B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33279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417B6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E6D18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C129A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27277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0CACB5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3A074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AF5C22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E3D99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DE7BA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FBFE9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296.701,97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21281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CC47D9" w14:textId="77777777" w:rsidR="0047357A" w:rsidRDefault="0047357A">
      <w:pPr>
        <w:spacing w:after="0"/>
      </w:pPr>
    </w:p>
    <w:p w14:paraId="2FED2840" w14:textId="77777777" w:rsidR="0047357A" w:rsidRDefault="001F56B5">
      <w:pPr>
        <w:spacing w:line="240" w:lineRule="auto"/>
        <w:jc w:val="both"/>
      </w:pPr>
      <w:r>
        <w:t>54-Izdaci za otplatu glavnice zajma ostvareni su u iznosu od 296.701,97 eura odnose se na  -otplate glavnice dugoročnih kredita u iznosu od 11.619,40 -otplata prekoračenja po žiro računu 285.082,57 eura</w:t>
      </w:r>
    </w:p>
    <w:p w14:paraId="382DDF9D" w14:textId="77777777" w:rsidR="0047357A" w:rsidRDefault="0047357A"/>
    <w:p w14:paraId="52E864FF" w14:textId="77777777" w:rsidR="0047357A" w:rsidRDefault="001F56B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877781C" w14:textId="77777777" w:rsidR="0047357A" w:rsidRDefault="001F56B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7357A" w14:paraId="13BDA0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78C1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6E205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9971C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6D6FA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20B70" w14:textId="77777777" w:rsidR="0047357A" w:rsidRDefault="001F56B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357A" w14:paraId="6A0BCC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80B44" w14:textId="77777777" w:rsidR="0047357A" w:rsidRDefault="0047357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65142E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418E1" w14:textId="77777777" w:rsidR="0047357A" w:rsidRDefault="001F56B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B465B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6EA01" w14:textId="77777777" w:rsidR="0047357A" w:rsidRDefault="001F56B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BBD2C5" w14:textId="77777777" w:rsidR="0047357A" w:rsidRDefault="0047357A">
      <w:pPr>
        <w:spacing w:after="0"/>
      </w:pPr>
    </w:p>
    <w:p w14:paraId="7D91CB1F" w14:textId="77777777" w:rsidR="0047357A" w:rsidRDefault="001F56B5">
      <w:pPr>
        <w:spacing w:line="240" w:lineRule="auto"/>
        <w:jc w:val="both"/>
      </w:pPr>
      <w:r>
        <w:t>Dospjele obveze            4.342,33 Obveze za rashode poslovanja u iznosu 1.535,19 eura i obveze za kredit u iznosu od 2.323,88 nisu stigle na vrijeme stoga nisu podmirene u valuti dok obveze za predujmove u iznosu od 483,26 odnose se na preplaćene komunalne i grobne naknade koje će biti zatvorene slijedećim zaduženjem</w:t>
      </w:r>
    </w:p>
    <w:p w14:paraId="5D2A5241" w14:textId="77777777" w:rsidR="0047357A" w:rsidRDefault="0047357A"/>
    <w:sectPr w:rsidR="00473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7A"/>
    <w:rsid w:val="001F56B5"/>
    <w:rsid w:val="0047357A"/>
    <w:rsid w:val="00D44BA8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0FC62F"/>
  <w15:docId w15:val="{8A1F892D-3856-4327-B333-00D1257C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2980</Words>
  <Characters>16986</Characters>
  <Application>Microsoft Office Word</Application>
  <DocSecurity>0</DocSecurity>
  <Lines>141</Lines>
  <Paragraphs>39</Paragraphs>
  <ScaleCrop>false</ScaleCrop>
  <Company/>
  <LinksUpToDate>false</LinksUpToDate>
  <CharactersWithSpaces>19927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2026-03-19T08:45:00Z</dcterms:created>
</cp:coreProperties>
</file>